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1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6424"/>
        <w:gridCol w:w="5953"/>
      </w:tblGrid>
      <w:tr w:rsidR="00E23D0B" w:rsidTr="005F0045">
        <w:trPr>
          <w:jc w:val="center"/>
        </w:trPr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E23D0B" w:rsidP="005F0045">
            <w:pPr>
              <w:widowControl w:val="0"/>
              <w:jc w:val="center"/>
            </w:pPr>
            <w:bookmarkStart w:id="0" w:name="_GoBack"/>
            <w:bookmarkEnd w:id="0"/>
          </w:p>
        </w:tc>
        <w:tc>
          <w:tcPr>
            <w:tcW w:w="6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E23D0B" w:rsidP="005F0045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BENJAMINAK LH3-4</w:t>
            </w: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E23D0B" w:rsidP="005F0045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ALEBINAK LH5-6</w:t>
            </w:r>
          </w:p>
        </w:tc>
      </w:tr>
      <w:tr w:rsidR="00E23D0B" w:rsidTr="00FA0043">
        <w:trPr>
          <w:jc w:val="center"/>
        </w:trPr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D53D31" w:rsidRDefault="00E23D0B" w:rsidP="005F0045">
            <w:pPr>
              <w:widowControl w:val="0"/>
              <w:jc w:val="center"/>
              <w:rPr>
                <w:sz w:val="24"/>
                <w:szCs w:val="24"/>
              </w:rPr>
            </w:pPr>
            <w:r w:rsidRPr="00D53D31">
              <w:rPr>
                <w:b/>
                <w:sz w:val="24"/>
                <w:szCs w:val="24"/>
              </w:rPr>
              <w:t>JOKALARI KOPURUA</w:t>
            </w:r>
          </w:p>
        </w:tc>
        <w:tc>
          <w:tcPr>
            <w:tcW w:w="1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E23D0B" w:rsidP="00E23D0B">
            <w:pPr>
              <w:widowControl w:val="0"/>
              <w:jc w:val="center"/>
            </w:pPr>
            <w:r w:rsidRPr="00E23D0B">
              <w:rPr>
                <w:sz w:val="24"/>
              </w:rPr>
              <w:t>6 + atezaina</w:t>
            </w:r>
          </w:p>
        </w:tc>
      </w:tr>
      <w:tr w:rsidR="00E23D0B" w:rsidTr="00E23D0B">
        <w:trPr>
          <w:trHeight w:val="529"/>
          <w:jc w:val="center"/>
        </w:trPr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D53D31" w:rsidRDefault="00E23D0B" w:rsidP="005F0045">
            <w:pPr>
              <w:widowControl w:val="0"/>
              <w:jc w:val="center"/>
              <w:rPr>
                <w:sz w:val="24"/>
                <w:szCs w:val="24"/>
              </w:rPr>
            </w:pPr>
            <w:r w:rsidRPr="00D53D31">
              <w:rPr>
                <w:b/>
                <w:sz w:val="24"/>
                <w:szCs w:val="24"/>
              </w:rPr>
              <w:t>ALDAKETAK</w:t>
            </w:r>
          </w:p>
        </w:tc>
        <w:tc>
          <w:tcPr>
            <w:tcW w:w="1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E23D0B" w:rsidP="005F0045">
            <w:pPr>
              <w:widowControl w:val="0"/>
              <w:jc w:val="center"/>
            </w:pPr>
            <w:r>
              <w:t xml:space="preserve">Aldaketak atsedenaldietan bakarrik egingo dira, jokalariren batek min hartuz gero izan ezik. Kasu hauetan, gutxien jokatu duen jokalaria sartuko da, baina ez da aktan apuntatuko. </w:t>
            </w:r>
          </w:p>
        </w:tc>
      </w:tr>
      <w:tr w:rsidR="00E23D0B" w:rsidTr="005F0045">
        <w:trPr>
          <w:trHeight w:val="484"/>
          <w:jc w:val="center"/>
        </w:trPr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D53D31" w:rsidRDefault="00E23D0B" w:rsidP="005F0045">
            <w:pPr>
              <w:widowControl w:val="0"/>
              <w:jc w:val="center"/>
              <w:rPr>
                <w:sz w:val="24"/>
                <w:szCs w:val="24"/>
              </w:rPr>
            </w:pPr>
            <w:r w:rsidRPr="00D53D31">
              <w:rPr>
                <w:b/>
                <w:sz w:val="24"/>
                <w:szCs w:val="24"/>
              </w:rPr>
              <w:t>JOKA DAITEZKEEN ZATI KOPURUAK</w:t>
            </w:r>
          </w:p>
        </w:tc>
        <w:tc>
          <w:tcPr>
            <w:tcW w:w="1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E23D0B" w:rsidP="005F0045">
            <w:pPr>
              <w:widowControl w:val="0"/>
              <w:jc w:val="center"/>
            </w:pPr>
            <w:r>
              <w:t xml:space="preserve">Gehien eta gutxien jokatu duten jokalarien artean, gehienez zati baten aldea egon daiteke, (luzapenak barne). </w:t>
            </w:r>
            <w:r>
              <w:rPr>
                <w:i/>
              </w:rPr>
              <w:t xml:space="preserve">Adibidez, taldekideren batek 4 zatiak jokatu baldin baditu, beste guztiek 3 zati jokatu behar dituzte. </w:t>
            </w:r>
          </w:p>
        </w:tc>
      </w:tr>
      <w:tr w:rsidR="00E23D0B" w:rsidTr="005F0045">
        <w:trPr>
          <w:trHeight w:val="440"/>
          <w:jc w:val="center"/>
        </w:trPr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D53D31" w:rsidRDefault="00E23D0B" w:rsidP="005F0045">
            <w:pPr>
              <w:widowControl w:val="0"/>
              <w:jc w:val="center"/>
              <w:rPr>
                <w:sz w:val="24"/>
                <w:szCs w:val="24"/>
              </w:rPr>
            </w:pPr>
            <w:r w:rsidRPr="00D53D31">
              <w:rPr>
                <w:b/>
                <w:sz w:val="24"/>
                <w:szCs w:val="24"/>
              </w:rPr>
              <w:t>ATEZAINAK</w:t>
            </w:r>
          </w:p>
        </w:tc>
        <w:tc>
          <w:tcPr>
            <w:tcW w:w="1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E23D0B" w:rsidP="005F0045">
            <w:pPr>
              <w:widowControl w:val="0"/>
              <w:jc w:val="center"/>
            </w:pPr>
            <w:r>
              <w:t>Gehienez 2 zati joka ditzake atezain gisa.</w:t>
            </w:r>
            <w:r>
              <w:rPr>
                <w:i/>
              </w:rPr>
              <w:t xml:space="preserve"> (4 zatiak joka ditzake, baina 2 atezain eta 2 jokalari moduan izan behar du, eta gogoratu kasu honetan, beste taldekide guztiek 3 zati jokatu beharko dituztela).</w:t>
            </w:r>
          </w:p>
        </w:tc>
      </w:tr>
      <w:tr w:rsidR="00E23D0B" w:rsidTr="00E23D0B">
        <w:trPr>
          <w:trHeight w:val="305"/>
          <w:jc w:val="center"/>
        </w:trPr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D53D31" w:rsidRDefault="00E23D0B" w:rsidP="005F0045">
            <w:pPr>
              <w:widowControl w:val="0"/>
              <w:jc w:val="center"/>
              <w:rPr>
                <w:sz w:val="24"/>
                <w:szCs w:val="24"/>
              </w:rPr>
            </w:pPr>
            <w:r w:rsidRPr="00D53D31">
              <w:rPr>
                <w:b/>
                <w:sz w:val="24"/>
                <w:szCs w:val="24"/>
              </w:rPr>
              <w:t>IRAUPENA</w:t>
            </w:r>
          </w:p>
        </w:tc>
        <w:tc>
          <w:tcPr>
            <w:tcW w:w="1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E23D0B" w:rsidP="005F0045">
            <w:pPr>
              <w:widowControl w:val="0"/>
              <w:jc w:val="center"/>
            </w:pPr>
            <w:r>
              <w:t>10 minutuko 4 zati. (4 x 10)</w:t>
            </w:r>
          </w:p>
        </w:tc>
      </w:tr>
      <w:tr w:rsidR="00E23D0B" w:rsidTr="00E23D0B">
        <w:trPr>
          <w:trHeight w:val="241"/>
          <w:jc w:val="center"/>
        </w:trPr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D53D31" w:rsidRDefault="00E23D0B" w:rsidP="005F0045">
            <w:pPr>
              <w:widowControl w:val="0"/>
              <w:jc w:val="center"/>
              <w:rPr>
                <w:sz w:val="24"/>
                <w:szCs w:val="24"/>
              </w:rPr>
            </w:pPr>
            <w:r w:rsidRPr="00D53D31">
              <w:rPr>
                <w:b/>
                <w:sz w:val="24"/>
                <w:szCs w:val="24"/>
              </w:rPr>
              <w:t>ATSEDENALDIAK</w:t>
            </w:r>
          </w:p>
        </w:tc>
        <w:tc>
          <w:tcPr>
            <w:tcW w:w="1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E23D0B" w:rsidP="005F0045">
            <w:pPr>
              <w:widowControl w:val="0"/>
              <w:jc w:val="center"/>
            </w:pPr>
            <w:r>
              <w:t>3 minutukoak</w:t>
            </w:r>
          </w:p>
        </w:tc>
      </w:tr>
      <w:tr w:rsidR="00E23D0B" w:rsidTr="005F0045">
        <w:trPr>
          <w:trHeight w:val="440"/>
          <w:jc w:val="center"/>
        </w:trPr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D53D31" w:rsidRDefault="00E23D0B" w:rsidP="005F0045">
            <w:pPr>
              <w:widowControl w:val="0"/>
              <w:jc w:val="center"/>
              <w:rPr>
                <w:sz w:val="24"/>
                <w:szCs w:val="24"/>
              </w:rPr>
            </w:pPr>
            <w:r w:rsidRPr="00D53D31">
              <w:rPr>
                <w:b/>
                <w:sz w:val="24"/>
                <w:szCs w:val="24"/>
              </w:rPr>
              <w:t>PARTIDUKO AZKEN EMAITZA</w:t>
            </w:r>
          </w:p>
        </w:tc>
        <w:tc>
          <w:tcPr>
            <w:tcW w:w="6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E23D0B" w:rsidP="005F0045">
            <w:pPr>
              <w:widowControl w:val="0"/>
              <w:jc w:val="center"/>
            </w:pPr>
            <w:r>
              <w:t xml:space="preserve">Partidu amaierako golen arabera. </w:t>
            </w:r>
          </w:p>
          <w:p w:rsidR="00E23D0B" w:rsidRPr="00E23D0B" w:rsidRDefault="00E23D0B" w:rsidP="005F0045">
            <w:pPr>
              <w:widowControl w:val="0"/>
              <w:jc w:val="center"/>
              <w:rPr>
                <w:i/>
                <w:color w:val="FF0000"/>
              </w:rPr>
            </w:pPr>
            <w:r w:rsidRPr="00E23D0B">
              <w:rPr>
                <w:i/>
                <w:color w:val="FF0000"/>
                <w:sz w:val="18"/>
              </w:rPr>
              <w:t xml:space="preserve">Talderen bat 10 goleko diferentziaz irabazten ari bada, hortik aurrerako </w:t>
            </w:r>
            <w:r w:rsidR="001B0CC5">
              <w:rPr>
                <w:i/>
                <w:color w:val="FF0000"/>
                <w:sz w:val="18"/>
              </w:rPr>
              <w:t>golak ez dira aktan apuntatuko. Akta itxita geratzen da.</w:t>
            </w: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E23D0B" w:rsidP="005F0045">
            <w:pPr>
              <w:widowControl w:val="0"/>
              <w:jc w:val="center"/>
            </w:pPr>
            <w:r>
              <w:t xml:space="preserve">Partidu amaierako golen arabera. </w:t>
            </w:r>
          </w:p>
        </w:tc>
      </w:tr>
      <w:tr w:rsidR="006B60F0" w:rsidTr="00E23D0B">
        <w:trPr>
          <w:trHeight w:val="416"/>
          <w:jc w:val="center"/>
        </w:trPr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0F0" w:rsidRDefault="006B60F0" w:rsidP="005F00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FALTAK</w:t>
            </w:r>
          </w:p>
        </w:tc>
        <w:tc>
          <w:tcPr>
            <w:tcW w:w="1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0F0" w:rsidRDefault="006B60F0" w:rsidP="005F0045">
            <w:pPr>
              <w:widowControl w:val="0"/>
              <w:jc w:val="center"/>
            </w:pPr>
            <w:r>
              <w:t xml:space="preserve">Falta guztiak zuzenekoak izango dira, salbuespen batekin. Taldekide batek bere atezainari pasa eta honek eskuekin hartzen duen kasuetan falta ez zuzena izango da. </w:t>
            </w:r>
          </w:p>
        </w:tc>
      </w:tr>
      <w:tr w:rsidR="00E23D0B" w:rsidTr="00E23D0B">
        <w:trPr>
          <w:trHeight w:val="416"/>
          <w:jc w:val="center"/>
        </w:trPr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D53D31" w:rsidRDefault="00E23D0B" w:rsidP="005F00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JOKOZ KANPOA</w:t>
            </w:r>
          </w:p>
        </w:tc>
        <w:tc>
          <w:tcPr>
            <w:tcW w:w="1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E23D0B" w:rsidP="005F0045">
            <w:pPr>
              <w:widowControl w:val="0"/>
              <w:jc w:val="center"/>
            </w:pPr>
            <w:r>
              <w:t xml:space="preserve">Jokoz kanpoa, area eta bere luzapenaren barruan bakarrik zigortuko da. </w:t>
            </w:r>
          </w:p>
        </w:tc>
      </w:tr>
      <w:tr w:rsidR="00E23D0B" w:rsidTr="006B60F0">
        <w:trPr>
          <w:trHeight w:val="766"/>
          <w:jc w:val="center"/>
        </w:trPr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D53D31" w:rsidRDefault="00E23D0B" w:rsidP="005F0045">
            <w:pPr>
              <w:widowControl w:val="0"/>
              <w:jc w:val="center"/>
              <w:rPr>
                <w:sz w:val="24"/>
                <w:szCs w:val="24"/>
              </w:rPr>
            </w:pPr>
            <w:r w:rsidRPr="00D53D31">
              <w:rPr>
                <w:b/>
                <w:sz w:val="24"/>
                <w:szCs w:val="24"/>
              </w:rPr>
              <w:t>ZIGORRAK</w:t>
            </w:r>
          </w:p>
        </w:tc>
        <w:tc>
          <w:tcPr>
            <w:tcW w:w="1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E23D0B" w:rsidP="006B60F0">
            <w:pPr>
              <w:widowControl w:val="0"/>
              <w:jc w:val="center"/>
            </w:pPr>
            <w:r>
              <w:t xml:space="preserve">Epaileak hala baderitzo,  2 minutuko kanporaketa agindu dezake eta txartel horia atera. Txartel gorria ateraz gero, jokalari hori kanporatua izango da partida amaitu arte eta bere ordez beste jokalari </w:t>
            </w:r>
            <w:proofErr w:type="spellStart"/>
            <w:r>
              <w:t>ordurarte</w:t>
            </w:r>
            <w:proofErr w:type="spellEnd"/>
            <w:r>
              <w:t xml:space="preserve"> gutxien jokatu duen taldekidea sartuko da 2 minutu beranduago. 2 minutuz </w:t>
            </w:r>
            <w:r w:rsidR="006B60F0">
              <w:t xml:space="preserve">jokalari bat gutxiagorekin egon beharko dute. </w:t>
            </w:r>
          </w:p>
        </w:tc>
      </w:tr>
      <w:tr w:rsidR="00E23D0B" w:rsidTr="005F0045">
        <w:trPr>
          <w:trHeight w:val="158"/>
          <w:jc w:val="center"/>
        </w:trPr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D53D31" w:rsidRDefault="00E23D0B" w:rsidP="005F0045">
            <w:pPr>
              <w:widowControl w:val="0"/>
              <w:jc w:val="center"/>
              <w:rPr>
                <w:sz w:val="24"/>
                <w:szCs w:val="24"/>
              </w:rPr>
            </w:pPr>
            <w:r w:rsidRPr="00D53D31">
              <w:rPr>
                <w:b/>
                <w:sz w:val="24"/>
                <w:szCs w:val="24"/>
              </w:rPr>
              <w:t>TXAPELKETA MODUA</w:t>
            </w:r>
          </w:p>
        </w:tc>
        <w:tc>
          <w:tcPr>
            <w:tcW w:w="6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E23D0B" w:rsidP="005F0045">
            <w:pPr>
              <w:widowControl w:val="0"/>
              <w:jc w:val="center"/>
            </w:pPr>
            <w:r>
              <w:t>Ez dago txapelketarik</w:t>
            </w: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Default="006B60F0" w:rsidP="005F0045">
            <w:pPr>
              <w:widowControl w:val="0"/>
              <w:jc w:val="center"/>
            </w:pPr>
            <w:r w:rsidRPr="00236253">
              <w:t>Txapelketako irabazlea, kanporaketa b</w:t>
            </w:r>
            <w:r w:rsidR="001B0CC5">
              <w:t>idez erabakiko da, final erdi</w:t>
            </w:r>
            <w:r w:rsidRPr="00236253">
              <w:t xml:space="preserve"> eta finalekin.</w:t>
            </w:r>
          </w:p>
        </w:tc>
      </w:tr>
    </w:tbl>
    <w:p w:rsidR="0016162E" w:rsidRDefault="006B60F0">
      <w:pPr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 xml:space="preserve">           </w:t>
      </w:r>
    </w:p>
    <w:sectPr w:rsidR="0016162E" w:rsidSect="00E23D0B">
      <w:headerReference w:type="default" r:id="rId8"/>
      <w:pgSz w:w="16837" w:h="11905" w:orient="landscape"/>
      <w:pgMar w:top="1418" w:right="1418" w:bottom="1418" w:left="1418" w:header="708" w:footer="708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1D" w:rsidRDefault="00CA641D">
      <w:r>
        <w:separator/>
      </w:r>
    </w:p>
  </w:endnote>
  <w:endnote w:type="continuationSeparator" w:id="0">
    <w:p w:rsidR="00CA641D" w:rsidRDefault="00CA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1D" w:rsidRDefault="00CA641D">
      <w:r>
        <w:separator/>
      </w:r>
    </w:p>
  </w:footnote>
  <w:footnote w:type="continuationSeparator" w:id="0">
    <w:p w:rsidR="00CA641D" w:rsidRDefault="00CA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2E" w:rsidRPr="00E23D0B" w:rsidRDefault="00E23D0B" w:rsidP="00E23D0B">
    <w:pPr>
      <w:pStyle w:val="Encabezado"/>
      <w:ind w:left="1416"/>
      <w:jc w:val="center"/>
      <w:rPr>
        <w:b/>
        <w:i/>
        <w:sz w:val="32"/>
      </w:rPr>
    </w:pPr>
    <w:r w:rsidRPr="00E23D0B">
      <w:rPr>
        <w:b/>
        <w:i/>
        <w:sz w:val="32"/>
      </w:rPr>
      <w:t>HONDARTZAKO FUTBOL ARAUDIA-2015-2016</w:t>
    </w:r>
  </w:p>
  <w:p w:rsidR="0016162E" w:rsidRPr="00E23D0B" w:rsidRDefault="00E23D0B" w:rsidP="00E23D0B">
    <w:pPr>
      <w:pStyle w:val="Encabezado"/>
      <w:ind w:left="1416"/>
      <w:rPr>
        <w:rFonts w:ascii="Garamond" w:hAnsi="Garamond"/>
        <w:b/>
        <w:i/>
      </w:rPr>
    </w:pPr>
    <w:r>
      <w:rPr>
        <w:rFonts w:ascii="Garamond" w:hAnsi="Garamond"/>
        <w:b/>
        <w:i/>
      </w:rPr>
      <w:t xml:space="preserve">                       </w:t>
    </w:r>
    <w:r w:rsidR="00A71B87">
      <w:rPr>
        <w:rFonts w:ascii="Tahoma" w:hAnsi="Tahoma" w:cs="Tahoma"/>
        <w:b/>
        <w:i/>
        <w:sz w:val="16"/>
      </w:rPr>
      <w:t xml:space="preserve">   </w:t>
    </w:r>
  </w:p>
  <w:p w:rsidR="0016162E" w:rsidRDefault="00A71B87">
    <w:pPr>
      <w:pStyle w:val="Encabezado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41"/>
    <w:rsid w:val="0016162E"/>
    <w:rsid w:val="001B0CC5"/>
    <w:rsid w:val="00313A22"/>
    <w:rsid w:val="00437042"/>
    <w:rsid w:val="006B60F0"/>
    <w:rsid w:val="006C2A41"/>
    <w:rsid w:val="0070737C"/>
    <w:rsid w:val="009749CD"/>
    <w:rsid w:val="00A71B87"/>
    <w:rsid w:val="00AA488A"/>
    <w:rsid w:val="00CA641D"/>
    <w:rsid w:val="00E06817"/>
    <w:rsid w:val="00E23D0B"/>
    <w:rsid w:val="00E37294"/>
    <w:rsid w:val="00E45E9F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E"/>
    <w:pPr>
      <w:suppressAutoHyphens/>
    </w:pPr>
    <w:rPr>
      <w:lang w:val="eu-ES" w:eastAsia="ar-SA"/>
    </w:rPr>
  </w:style>
  <w:style w:type="paragraph" w:styleId="Ttulo1">
    <w:name w:val="heading 1"/>
    <w:basedOn w:val="Normal"/>
    <w:next w:val="Normal"/>
    <w:qFormat/>
    <w:rsid w:val="0016162E"/>
    <w:pPr>
      <w:keepNext/>
      <w:numPr>
        <w:numId w:val="1"/>
      </w:numPr>
      <w:jc w:val="right"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rsid w:val="0016162E"/>
    <w:pPr>
      <w:keepNext/>
      <w:numPr>
        <w:ilvl w:val="1"/>
        <w:numId w:val="1"/>
      </w:numPr>
      <w:outlineLvl w:val="1"/>
    </w:pPr>
    <w:rPr>
      <w:rFonts w:ascii="Bookman Old Style" w:hAnsi="Bookman Old Style"/>
      <w:b/>
      <w:sz w:val="24"/>
    </w:rPr>
  </w:style>
  <w:style w:type="paragraph" w:styleId="Ttulo3">
    <w:name w:val="heading 3"/>
    <w:basedOn w:val="Normal"/>
    <w:next w:val="Normal"/>
    <w:qFormat/>
    <w:rsid w:val="0016162E"/>
    <w:pPr>
      <w:keepNext/>
      <w:numPr>
        <w:ilvl w:val="2"/>
        <w:numId w:val="1"/>
      </w:numPr>
      <w:outlineLvl w:val="2"/>
    </w:pPr>
    <w:rPr>
      <w:rFonts w:ascii="Courier" w:hAnsi="Courier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62E"/>
  </w:style>
  <w:style w:type="character" w:customStyle="1" w:styleId="WW-Absatz-Standardschriftart">
    <w:name w:val="WW-Absatz-Standardschriftart"/>
    <w:rsid w:val="0016162E"/>
  </w:style>
  <w:style w:type="character" w:customStyle="1" w:styleId="WW-Absatz-Standardschriftart1">
    <w:name w:val="WW-Absatz-Standardschriftart1"/>
    <w:rsid w:val="0016162E"/>
  </w:style>
  <w:style w:type="character" w:customStyle="1" w:styleId="WW8NumSt1z0">
    <w:name w:val="WW8NumSt1z0"/>
    <w:rsid w:val="0016162E"/>
    <w:rPr>
      <w:rFonts w:ascii="Symbol" w:hAnsi="Symbol"/>
    </w:rPr>
  </w:style>
  <w:style w:type="character" w:customStyle="1" w:styleId="Fuentedeprrafopredeter1">
    <w:name w:val="Fuente de párrafo predeter.1"/>
    <w:rsid w:val="0016162E"/>
  </w:style>
  <w:style w:type="character" w:customStyle="1" w:styleId="Hipervnculo1">
    <w:name w:val="Hipervínculo1"/>
    <w:basedOn w:val="Fuentedeprrafopredeter1"/>
    <w:rsid w:val="0016162E"/>
    <w:rPr>
      <w:color w:val="0000FF"/>
      <w:u w:val="single"/>
    </w:rPr>
  </w:style>
  <w:style w:type="character" w:customStyle="1" w:styleId="Hipervnculovisitado1">
    <w:name w:val="Hipervínculo visitado1"/>
    <w:basedOn w:val="Fuentedeprrafopredeter1"/>
    <w:rsid w:val="0016162E"/>
    <w:rPr>
      <w:color w:val="800080"/>
      <w:u w:val="single"/>
    </w:rPr>
  </w:style>
  <w:style w:type="character" w:styleId="Hipervnculo">
    <w:name w:val="Hyperlink"/>
    <w:rsid w:val="0016162E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1616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16162E"/>
    <w:pPr>
      <w:jc w:val="both"/>
    </w:pPr>
    <w:rPr>
      <w:rFonts w:ascii="Bookman Old Style" w:hAnsi="Bookman Old Style"/>
      <w:sz w:val="24"/>
    </w:rPr>
  </w:style>
  <w:style w:type="paragraph" w:styleId="Lista">
    <w:name w:val="List"/>
    <w:basedOn w:val="Textoindependiente"/>
    <w:rsid w:val="0016162E"/>
    <w:rPr>
      <w:rFonts w:cs="Tahoma"/>
    </w:rPr>
  </w:style>
  <w:style w:type="paragraph" w:customStyle="1" w:styleId="Etiqueta">
    <w:name w:val="Etiqueta"/>
    <w:basedOn w:val="Normal"/>
    <w:rsid w:val="001616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6162E"/>
    <w:pPr>
      <w:suppressLineNumbers/>
    </w:pPr>
    <w:rPr>
      <w:rFonts w:cs="Tahoma"/>
    </w:rPr>
  </w:style>
  <w:style w:type="paragraph" w:styleId="Encabezado">
    <w:name w:val="header"/>
    <w:basedOn w:val="Normal"/>
    <w:rsid w:val="001616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162E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161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E"/>
    <w:pPr>
      <w:suppressAutoHyphens/>
    </w:pPr>
    <w:rPr>
      <w:lang w:val="eu-ES" w:eastAsia="ar-SA"/>
    </w:rPr>
  </w:style>
  <w:style w:type="paragraph" w:styleId="Ttulo1">
    <w:name w:val="heading 1"/>
    <w:basedOn w:val="Normal"/>
    <w:next w:val="Normal"/>
    <w:qFormat/>
    <w:rsid w:val="0016162E"/>
    <w:pPr>
      <w:keepNext/>
      <w:numPr>
        <w:numId w:val="1"/>
      </w:numPr>
      <w:jc w:val="right"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rsid w:val="0016162E"/>
    <w:pPr>
      <w:keepNext/>
      <w:numPr>
        <w:ilvl w:val="1"/>
        <w:numId w:val="1"/>
      </w:numPr>
      <w:outlineLvl w:val="1"/>
    </w:pPr>
    <w:rPr>
      <w:rFonts w:ascii="Bookman Old Style" w:hAnsi="Bookman Old Style"/>
      <w:b/>
      <w:sz w:val="24"/>
    </w:rPr>
  </w:style>
  <w:style w:type="paragraph" w:styleId="Ttulo3">
    <w:name w:val="heading 3"/>
    <w:basedOn w:val="Normal"/>
    <w:next w:val="Normal"/>
    <w:qFormat/>
    <w:rsid w:val="0016162E"/>
    <w:pPr>
      <w:keepNext/>
      <w:numPr>
        <w:ilvl w:val="2"/>
        <w:numId w:val="1"/>
      </w:numPr>
      <w:outlineLvl w:val="2"/>
    </w:pPr>
    <w:rPr>
      <w:rFonts w:ascii="Courier" w:hAnsi="Courier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62E"/>
  </w:style>
  <w:style w:type="character" w:customStyle="1" w:styleId="WW-Absatz-Standardschriftart">
    <w:name w:val="WW-Absatz-Standardschriftart"/>
    <w:rsid w:val="0016162E"/>
  </w:style>
  <w:style w:type="character" w:customStyle="1" w:styleId="WW-Absatz-Standardschriftart1">
    <w:name w:val="WW-Absatz-Standardschriftart1"/>
    <w:rsid w:val="0016162E"/>
  </w:style>
  <w:style w:type="character" w:customStyle="1" w:styleId="WW8NumSt1z0">
    <w:name w:val="WW8NumSt1z0"/>
    <w:rsid w:val="0016162E"/>
    <w:rPr>
      <w:rFonts w:ascii="Symbol" w:hAnsi="Symbol"/>
    </w:rPr>
  </w:style>
  <w:style w:type="character" w:customStyle="1" w:styleId="Fuentedeprrafopredeter1">
    <w:name w:val="Fuente de párrafo predeter.1"/>
    <w:rsid w:val="0016162E"/>
  </w:style>
  <w:style w:type="character" w:customStyle="1" w:styleId="Hipervnculo1">
    <w:name w:val="Hipervínculo1"/>
    <w:basedOn w:val="Fuentedeprrafopredeter1"/>
    <w:rsid w:val="0016162E"/>
    <w:rPr>
      <w:color w:val="0000FF"/>
      <w:u w:val="single"/>
    </w:rPr>
  </w:style>
  <w:style w:type="character" w:customStyle="1" w:styleId="Hipervnculovisitado1">
    <w:name w:val="Hipervínculo visitado1"/>
    <w:basedOn w:val="Fuentedeprrafopredeter1"/>
    <w:rsid w:val="0016162E"/>
    <w:rPr>
      <w:color w:val="800080"/>
      <w:u w:val="single"/>
    </w:rPr>
  </w:style>
  <w:style w:type="character" w:styleId="Hipervnculo">
    <w:name w:val="Hyperlink"/>
    <w:rsid w:val="0016162E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1616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16162E"/>
    <w:pPr>
      <w:jc w:val="both"/>
    </w:pPr>
    <w:rPr>
      <w:rFonts w:ascii="Bookman Old Style" w:hAnsi="Bookman Old Style"/>
      <w:sz w:val="24"/>
    </w:rPr>
  </w:style>
  <w:style w:type="paragraph" w:styleId="Lista">
    <w:name w:val="List"/>
    <w:basedOn w:val="Textoindependiente"/>
    <w:rsid w:val="0016162E"/>
    <w:rPr>
      <w:rFonts w:cs="Tahoma"/>
    </w:rPr>
  </w:style>
  <w:style w:type="paragraph" w:customStyle="1" w:styleId="Etiqueta">
    <w:name w:val="Etiqueta"/>
    <w:basedOn w:val="Normal"/>
    <w:rsid w:val="001616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6162E"/>
    <w:pPr>
      <w:suppressLineNumbers/>
    </w:pPr>
    <w:rPr>
      <w:rFonts w:cs="Tahoma"/>
    </w:rPr>
  </w:style>
  <w:style w:type="paragraph" w:styleId="Encabezado">
    <w:name w:val="header"/>
    <w:basedOn w:val="Normal"/>
    <w:rsid w:val="001616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162E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16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menbreteBerria_gif</vt:lpstr>
    </vt:vector>
  </TitlesOfParts>
  <Company>Kirol Elkartea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menbreteBerria_gif</dc:title>
  <dc:subject>logoa</dc:subject>
  <dc:creator>Ane</dc:creator>
  <cp:lastModifiedBy>ir012073ajajlb</cp:lastModifiedBy>
  <cp:revision>4</cp:revision>
  <cp:lastPrinted>2011-11-17T15:48:00Z</cp:lastPrinted>
  <dcterms:created xsi:type="dcterms:W3CDTF">2015-11-17T08:22:00Z</dcterms:created>
  <dcterms:modified xsi:type="dcterms:W3CDTF">2015-11-17T08:32:00Z</dcterms:modified>
</cp:coreProperties>
</file>